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95" w:rsidRDefault="00D07195" w:rsidP="00D07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195">
        <w:rPr>
          <w:rFonts w:ascii="Times New Roman" w:hAnsi="Times New Roman" w:cs="Times New Roman"/>
          <w:b/>
          <w:sz w:val="24"/>
          <w:szCs w:val="24"/>
        </w:rPr>
        <w:t xml:space="preserve">Чек-лист предметно-развивающей среды </w:t>
      </w:r>
    </w:p>
    <w:p w:rsidR="00D07195" w:rsidRDefault="00D07195" w:rsidP="00D07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195">
        <w:rPr>
          <w:rFonts w:ascii="Times New Roman" w:hAnsi="Times New Roman" w:cs="Times New Roman"/>
          <w:b/>
          <w:sz w:val="24"/>
          <w:szCs w:val="24"/>
        </w:rPr>
        <w:t>по физическому развитию детей раннего возраста</w:t>
      </w:r>
    </w:p>
    <w:p w:rsidR="00D07195" w:rsidRPr="00D07195" w:rsidRDefault="00D07195" w:rsidP="00D07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195" w:rsidRPr="00AD567B" w:rsidRDefault="00AD567B" w:rsidP="00AD5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67B">
        <w:rPr>
          <w:rFonts w:ascii="Times New Roman" w:hAnsi="Times New Roman" w:cs="Times New Roman"/>
          <w:sz w:val="24"/>
          <w:szCs w:val="24"/>
        </w:rPr>
        <w:t xml:space="preserve">Предлагаем </w:t>
      </w:r>
      <w:r w:rsidR="00D07195" w:rsidRPr="00AD567B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D07195" w:rsidRPr="00AD567B">
        <w:rPr>
          <w:rFonts w:ascii="Times New Roman" w:hAnsi="Times New Roman" w:cs="Times New Roman"/>
          <w:sz w:val="24"/>
          <w:szCs w:val="24"/>
        </w:rPr>
        <w:t xml:space="preserve">ценить </w:t>
      </w:r>
      <w:r>
        <w:rPr>
          <w:rFonts w:ascii="Times New Roman" w:hAnsi="Times New Roman" w:cs="Times New Roman"/>
          <w:sz w:val="24"/>
          <w:szCs w:val="24"/>
        </w:rPr>
        <w:t>предметно-развивающую среду группы</w:t>
      </w:r>
      <w:r w:rsidRPr="00AD567B">
        <w:rPr>
          <w:rFonts w:ascii="Times New Roman" w:hAnsi="Times New Roman" w:cs="Times New Roman"/>
          <w:sz w:val="24"/>
          <w:szCs w:val="24"/>
        </w:rPr>
        <w:t xml:space="preserve"> по физическому развитию детей раннего возраста </w:t>
      </w:r>
      <w:r w:rsidR="00D07195" w:rsidRPr="00AD567B">
        <w:rPr>
          <w:rFonts w:ascii="Times New Roman" w:hAnsi="Times New Roman" w:cs="Times New Roman"/>
          <w:sz w:val="24"/>
          <w:szCs w:val="24"/>
        </w:rPr>
        <w:t>по 3-х бальной системе:</w:t>
      </w:r>
    </w:p>
    <w:p w:rsidR="00727E03" w:rsidRPr="0067421B" w:rsidRDefault="00D07195" w:rsidP="00AD5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</w:t>
      </w:r>
      <w:r w:rsidR="00727E03" w:rsidRPr="0067421B">
        <w:rPr>
          <w:rFonts w:ascii="Times New Roman" w:hAnsi="Times New Roman" w:cs="Times New Roman"/>
          <w:sz w:val="24"/>
          <w:szCs w:val="24"/>
        </w:rPr>
        <w:t>высокий уровень  проявления критерия</w:t>
      </w:r>
    </w:p>
    <w:p w:rsidR="00727E03" w:rsidRPr="0067421B" w:rsidRDefault="00727E03" w:rsidP="00AD5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21B">
        <w:rPr>
          <w:rFonts w:ascii="Times New Roman" w:hAnsi="Times New Roman" w:cs="Times New Roman"/>
          <w:sz w:val="24"/>
          <w:szCs w:val="24"/>
        </w:rPr>
        <w:t>2 – средний уровень  проявления критерия</w:t>
      </w:r>
    </w:p>
    <w:p w:rsidR="00727E03" w:rsidRDefault="00727E03" w:rsidP="00AD5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21B">
        <w:rPr>
          <w:rFonts w:ascii="Times New Roman" w:hAnsi="Times New Roman" w:cs="Times New Roman"/>
          <w:sz w:val="24"/>
          <w:szCs w:val="24"/>
        </w:rPr>
        <w:t>1 – низкий уровень  проявления критерия</w:t>
      </w:r>
    </w:p>
    <w:p w:rsidR="0067421B" w:rsidRPr="0067421B" w:rsidRDefault="0067421B" w:rsidP="00674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6"/>
        <w:gridCol w:w="5638"/>
        <w:gridCol w:w="3118"/>
      </w:tblGrid>
      <w:tr w:rsidR="00AD567B" w:rsidRPr="0067421B" w:rsidTr="00AD567B">
        <w:tc>
          <w:tcPr>
            <w:tcW w:w="566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3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 оценки </w:t>
            </w: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 </w:t>
            </w:r>
            <w:r w:rsidRPr="00AD567B">
              <w:rPr>
                <w:rFonts w:ascii="Times New Roman" w:hAnsi="Times New Roman" w:cs="Times New Roman"/>
                <w:i/>
                <w:sz w:val="24"/>
                <w:szCs w:val="24"/>
              </w:rPr>
              <w:t>(обведите в круг соответствующий балл)</w:t>
            </w:r>
          </w:p>
        </w:tc>
      </w:tr>
      <w:tr w:rsidR="00AD567B" w:rsidRPr="0067421B" w:rsidTr="00AD567B">
        <w:trPr>
          <w:trHeight w:val="669"/>
        </w:trPr>
        <w:tc>
          <w:tcPr>
            <w:tcW w:w="566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Учет возрастных особенностей детей</w:t>
            </w: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1               2              3  </w:t>
            </w: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7B" w:rsidRPr="0067421B" w:rsidTr="00AD567B">
        <w:trPr>
          <w:trHeight w:val="1172"/>
        </w:trPr>
        <w:tc>
          <w:tcPr>
            <w:tcW w:w="566" w:type="dxa"/>
            <w:vMerge w:val="restart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</w:t>
            </w: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2.1.свободный и безопасный  доступ к   игрушкам, играм, материалам, пособиям.</w:t>
            </w:r>
          </w:p>
        </w:tc>
        <w:tc>
          <w:tcPr>
            <w:tcW w:w="311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1               2              3  </w:t>
            </w:r>
          </w:p>
          <w:p w:rsidR="00AD567B" w:rsidRPr="001F1EC5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7B" w:rsidRPr="0067421B" w:rsidTr="00AD567B">
        <w:trPr>
          <w:trHeight w:val="930"/>
        </w:trPr>
        <w:tc>
          <w:tcPr>
            <w:tcW w:w="566" w:type="dxa"/>
            <w:vMerge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2.2. размещение   игрушек, игр, пособий  в зоне доступности   для ребенка</w:t>
            </w:r>
          </w:p>
        </w:tc>
        <w:tc>
          <w:tcPr>
            <w:tcW w:w="311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1               2              3  </w:t>
            </w: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7B" w:rsidRPr="0067421B" w:rsidTr="00AD567B">
        <w:trPr>
          <w:trHeight w:val="1174"/>
        </w:trPr>
        <w:tc>
          <w:tcPr>
            <w:tcW w:w="566" w:type="dxa"/>
            <w:vMerge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</w:tcPr>
          <w:p w:rsidR="00AD567B" w:rsidRPr="001F1EC5" w:rsidRDefault="00AD567B" w:rsidP="001F1E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все предметы должны быть соразмерны росту, руке и физиологическим возможностям детей</w:t>
            </w:r>
          </w:p>
        </w:tc>
        <w:tc>
          <w:tcPr>
            <w:tcW w:w="311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1               2              3  </w:t>
            </w:r>
          </w:p>
        </w:tc>
      </w:tr>
      <w:tr w:rsidR="00AD567B" w:rsidRPr="0067421B" w:rsidTr="00AD567B">
        <w:trPr>
          <w:trHeight w:val="990"/>
        </w:trPr>
        <w:tc>
          <w:tcPr>
            <w:tcW w:w="566" w:type="dxa"/>
            <w:vMerge w:val="restart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3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3.1.Оборудование безопасно,  устойчиво</w:t>
            </w:r>
          </w:p>
        </w:tc>
        <w:tc>
          <w:tcPr>
            <w:tcW w:w="311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1               2              3  </w:t>
            </w:r>
          </w:p>
        </w:tc>
      </w:tr>
      <w:tr w:rsidR="00AD567B" w:rsidRPr="0067421B" w:rsidTr="00AD567B">
        <w:trPr>
          <w:trHeight w:val="1120"/>
        </w:trPr>
        <w:tc>
          <w:tcPr>
            <w:tcW w:w="566" w:type="dxa"/>
            <w:vMerge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</w:tcPr>
          <w:p w:rsidR="00AD567B" w:rsidRPr="001F1EC5" w:rsidRDefault="00AD567B" w:rsidP="001F1E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674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Материалы, из которых изготовлено оборудование, отвечают гигиеническим требованиям, экологически чистые и прочные.</w:t>
            </w:r>
          </w:p>
        </w:tc>
        <w:tc>
          <w:tcPr>
            <w:tcW w:w="311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1               2              3  </w:t>
            </w: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AD567B" w:rsidRPr="0067421B" w:rsidTr="00AD567B">
        <w:trPr>
          <w:trHeight w:val="1264"/>
        </w:trPr>
        <w:tc>
          <w:tcPr>
            <w:tcW w:w="566" w:type="dxa"/>
            <w:vMerge w:val="restart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3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b/>
                <w:sz w:val="24"/>
                <w:szCs w:val="24"/>
              </w:rPr>
              <w:t>Насыщенность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аличие оборудования, пособий, инвентаря, обеспечивающее:</w:t>
            </w: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4.1.двигательную активность</w:t>
            </w:r>
          </w:p>
        </w:tc>
        <w:tc>
          <w:tcPr>
            <w:tcW w:w="311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1               2              3  </w:t>
            </w:r>
          </w:p>
        </w:tc>
      </w:tr>
      <w:tr w:rsidR="00AD567B" w:rsidRPr="0067421B" w:rsidTr="00AD567B">
        <w:trPr>
          <w:trHeight w:val="363"/>
        </w:trPr>
        <w:tc>
          <w:tcPr>
            <w:tcW w:w="566" w:type="dxa"/>
            <w:vMerge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4.2.эмоциональное благополучие</w:t>
            </w:r>
          </w:p>
        </w:tc>
        <w:tc>
          <w:tcPr>
            <w:tcW w:w="311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1               2              3  </w:t>
            </w:r>
          </w:p>
        </w:tc>
      </w:tr>
      <w:tr w:rsidR="00AD567B" w:rsidRPr="0067421B" w:rsidTr="00AD567B">
        <w:trPr>
          <w:trHeight w:val="458"/>
        </w:trPr>
        <w:tc>
          <w:tcPr>
            <w:tcW w:w="566" w:type="dxa"/>
            <w:vMerge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4.3.развитие мелкой моторики</w:t>
            </w:r>
          </w:p>
        </w:tc>
        <w:tc>
          <w:tcPr>
            <w:tcW w:w="311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1               2              3  </w:t>
            </w:r>
          </w:p>
        </w:tc>
      </w:tr>
      <w:tr w:rsidR="00AD567B" w:rsidRPr="0067421B" w:rsidTr="00AD567B">
        <w:trPr>
          <w:trHeight w:val="458"/>
        </w:trPr>
        <w:tc>
          <w:tcPr>
            <w:tcW w:w="566" w:type="dxa"/>
            <w:vMerge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4.4. развитие крупной моторики</w:t>
            </w:r>
          </w:p>
        </w:tc>
        <w:tc>
          <w:tcPr>
            <w:tcW w:w="311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1               2              3  </w:t>
            </w:r>
          </w:p>
        </w:tc>
      </w:tr>
      <w:tr w:rsidR="00AD567B" w:rsidRPr="0067421B" w:rsidTr="00AD567B">
        <w:trPr>
          <w:trHeight w:val="675"/>
        </w:trPr>
        <w:tc>
          <w:tcPr>
            <w:tcW w:w="566" w:type="dxa"/>
            <w:vMerge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4.5. условия для </w:t>
            </w:r>
            <w:proofErr w:type="gramStart"/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gramEnd"/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311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1               2              3  </w:t>
            </w: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7B" w:rsidRPr="0067421B" w:rsidTr="00AD567B">
        <w:trPr>
          <w:trHeight w:val="1112"/>
        </w:trPr>
        <w:tc>
          <w:tcPr>
            <w:tcW w:w="566" w:type="dxa"/>
            <w:vMerge w:val="restart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38" w:type="dxa"/>
          </w:tcPr>
          <w:p w:rsidR="00AD567B" w:rsidRPr="001F1EC5" w:rsidRDefault="00AD567B" w:rsidP="006742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b/>
                <w:sz w:val="24"/>
                <w:szCs w:val="24"/>
              </w:rPr>
              <w:t>Трансформируемость</w:t>
            </w: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5.1. возможность изменяться в зависимости от  образовательной ситуации (оборудования)</w:t>
            </w:r>
          </w:p>
        </w:tc>
        <w:tc>
          <w:tcPr>
            <w:tcW w:w="311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7B" w:rsidRPr="001F1EC5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1               2              3  </w:t>
            </w:r>
          </w:p>
        </w:tc>
      </w:tr>
      <w:tr w:rsidR="00AD567B" w:rsidRPr="0067421B" w:rsidTr="00AD567B">
        <w:trPr>
          <w:trHeight w:val="695"/>
        </w:trPr>
        <w:tc>
          <w:tcPr>
            <w:tcW w:w="566" w:type="dxa"/>
            <w:vMerge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5.2. многофункциональность открытых оборудования и пособий</w:t>
            </w:r>
          </w:p>
        </w:tc>
        <w:tc>
          <w:tcPr>
            <w:tcW w:w="311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1               2              3  </w:t>
            </w: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7B" w:rsidRPr="0067421B" w:rsidTr="00AD567B">
        <w:trPr>
          <w:trHeight w:val="1265"/>
        </w:trPr>
        <w:tc>
          <w:tcPr>
            <w:tcW w:w="566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38" w:type="dxa"/>
          </w:tcPr>
          <w:p w:rsidR="00AD567B" w:rsidRPr="0067421B" w:rsidRDefault="00AD567B" w:rsidP="00674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21B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среды:</w:t>
            </w:r>
            <w:r w:rsidRPr="0067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оптимальное расположение предметов и оборудования в пространстве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311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1             2               3</w:t>
            </w:r>
          </w:p>
        </w:tc>
      </w:tr>
      <w:tr w:rsidR="00AD567B" w:rsidRPr="0067421B" w:rsidTr="00AD567B">
        <w:tc>
          <w:tcPr>
            <w:tcW w:w="566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3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дизайн:</w:t>
            </w: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стетика оформления - обеспечение  эмоционального комфорта и эстетического воспитания детей, единство стиля в его оформлении, адекватность обстановки назначению зоны, гармоничность.</w:t>
            </w:r>
          </w:p>
        </w:tc>
        <w:tc>
          <w:tcPr>
            <w:tcW w:w="311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1               2              3  </w:t>
            </w: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567B" w:rsidRPr="001F1EC5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7B" w:rsidRPr="0067421B" w:rsidTr="00AD567B">
        <w:tc>
          <w:tcPr>
            <w:tcW w:w="566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 обеспечение:</w:t>
            </w:r>
          </w:p>
          <w:p w:rsidR="00AD567B" w:rsidRPr="0067421B" w:rsidRDefault="00AD567B" w:rsidP="00D071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74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артотеки игр, методическая литература,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фонотека</w:t>
            </w:r>
            <w:r w:rsidRPr="0067421B">
              <w:rPr>
                <w:rFonts w:ascii="Times New Roman" w:hAnsi="Times New Roman" w:cs="Times New Roman"/>
                <w:bCs/>
                <w:sz w:val="24"/>
                <w:szCs w:val="24"/>
              </w:rPr>
              <w:t>, информационно-наглядная агитация</w:t>
            </w:r>
          </w:p>
        </w:tc>
        <w:tc>
          <w:tcPr>
            <w:tcW w:w="311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1B">
              <w:rPr>
                <w:rFonts w:ascii="Times New Roman" w:hAnsi="Times New Roman" w:cs="Times New Roman"/>
                <w:sz w:val="24"/>
                <w:szCs w:val="24"/>
              </w:rPr>
              <w:t xml:space="preserve">1               2              3  </w:t>
            </w:r>
          </w:p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7B" w:rsidRPr="0067421B" w:rsidTr="00AD567B">
        <w:tc>
          <w:tcPr>
            <w:tcW w:w="566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показатель</w:t>
            </w:r>
          </w:p>
        </w:tc>
        <w:tc>
          <w:tcPr>
            <w:tcW w:w="3118" w:type="dxa"/>
          </w:tcPr>
          <w:p w:rsidR="00AD567B" w:rsidRPr="0067421B" w:rsidRDefault="00AD567B" w:rsidP="0067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Pr="00D07195" w:rsidRDefault="00AD567B" w:rsidP="00D07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195" w:rsidRPr="00D07195" w:rsidRDefault="00D07195" w:rsidP="00D071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7195">
        <w:rPr>
          <w:rFonts w:ascii="Times New Roman" w:hAnsi="Times New Roman" w:cs="Times New Roman"/>
          <w:b/>
          <w:sz w:val="24"/>
          <w:szCs w:val="24"/>
        </w:rPr>
        <w:t>Качественный анализ:</w:t>
      </w:r>
    </w:p>
    <w:p w:rsidR="00D07195" w:rsidRPr="00D07195" w:rsidRDefault="00D07195" w:rsidP="00D07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19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07195">
        <w:rPr>
          <w:rFonts w:ascii="Times New Roman" w:hAnsi="Times New Roman" w:cs="Times New Roman"/>
          <w:sz w:val="24"/>
          <w:szCs w:val="24"/>
        </w:rPr>
        <w:t>16 – низкий уровень</w:t>
      </w:r>
    </w:p>
    <w:p w:rsidR="00D07195" w:rsidRPr="00D07195" w:rsidRDefault="00D07195" w:rsidP="00D07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195">
        <w:rPr>
          <w:rFonts w:ascii="Times New Roman" w:hAnsi="Times New Roman" w:cs="Times New Roman"/>
          <w:sz w:val="24"/>
          <w:szCs w:val="24"/>
        </w:rPr>
        <w:t>17-33 – средний уровень</w:t>
      </w:r>
    </w:p>
    <w:p w:rsidR="00D07195" w:rsidRPr="00D07195" w:rsidRDefault="00D07195" w:rsidP="00D07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195">
        <w:rPr>
          <w:rFonts w:ascii="Times New Roman" w:hAnsi="Times New Roman" w:cs="Times New Roman"/>
          <w:sz w:val="24"/>
          <w:szCs w:val="24"/>
        </w:rPr>
        <w:t>34-48 – высокий уровень</w:t>
      </w:r>
    </w:p>
    <w:sectPr w:rsidR="00D07195" w:rsidRPr="00D0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B6E87"/>
    <w:multiLevelType w:val="multilevel"/>
    <w:tmpl w:val="0222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27E03"/>
    <w:rsid w:val="001F1EC5"/>
    <w:rsid w:val="0067421B"/>
    <w:rsid w:val="0069086A"/>
    <w:rsid w:val="00727E03"/>
    <w:rsid w:val="00AD567B"/>
    <w:rsid w:val="00BC4A21"/>
    <w:rsid w:val="00D07195"/>
    <w:rsid w:val="00F9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E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2020-11-10T07:51:00Z</dcterms:created>
  <dcterms:modified xsi:type="dcterms:W3CDTF">2020-11-10T10:15:00Z</dcterms:modified>
</cp:coreProperties>
</file>